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3B9C7781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AE1BE2" w:rsidRPr="00AE1BE2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="00AE1BE2" w:rsidRPr="00AE1BE2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="00AE1BE2" w:rsidRPr="00AE1BE2">
        <w:rPr>
          <w:rFonts w:ascii="Times New Roman" w:hAnsi="Times New Roman" w:cs="Times New Roman"/>
          <w:sz w:val="28"/>
          <w:szCs w:val="28"/>
        </w:rPr>
        <w:t xml:space="preserve"> и робототехнических систем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5E83DAAC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8A19F1" w:rsidRPr="00AE1BE2">
        <w:rPr>
          <w:b/>
          <w:bCs/>
          <w:sz w:val="28"/>
        </w:rPr>
        <w:t>2</w:t>
      </w:r>
      <w:r w:rsidR="008A19F1">
        <w:rPr>
          <w:b/>
          <w:bCs/>
          <w:sz w:val="28"/>
        </w:rPr>
        <w:t>/202</w:t>
      </w:r>
      <w:r w:rsidR="008A19F1" w:rsidRPr="00AE1BE2">
        <w:rPr>
          <w:b/>
          <w:bCs/>
          <w:sz w:val="28"/>
        </w:rPr>
        <w:t>3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12393E38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704A3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470331A2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704A37">
        <w:rPr>
          <w:sz w:val="28"/>
          <w:lang w:val="kk-KZ"/>
        </w:rPr>
        <w:t>2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157B2AFC" w:rsidR="00D90916" w:rsidRPr="00D12652" w:rsidRDefault="006E00C5" w:rsidP="006E00C5">
      <w:pPr>
        <w:ind w:left="705"/>
        <w:rPr>
          <w:sz w:val="28"/>
          <w:szCs w:val="28"/>
        </w:rPr>
      </w:pPr>
      <w:r w:rsidRPr="00D90916">
        <w:t xml:space="preserve"> -</w:t>
      </w:r>
      <w:r w:rsidR="00A24A6D" w:rsidRPr="00A24A6D">
        <w:t xml:space="preserve"> </w:t>
      </w:r>
      <w:r w:rsidR="00A52F01" w:rsidRPr="006C10B9">
        <w:rPr>
          <w:sz w:val="28"/>
          <w:szCs w:val="28"/>
        </w:rPr>
        <w:t>Проектирование робота манипулятора</w:t>
      </w:r>
      <w:r w:rsidR="00FA4195" w:rsidRPr="006C10B9">
        <w:rPr>
          <w:sz w:val="28"/>
          <w:szCs w:val="28"/>
          <w:lang w:val="kk-KZ"/>
        </w:rPr>
        <w:t xml:space="preserve"> и </w:t>
      </w:r>
      <w:r w:rsidR="00D12652">
        <w:rPr>
          <w:sz w:val="28"/>
          <w:szCs w:val="28"/>
        </w:rPr>
        <w:t>разработка программного обеспечения</w:t>
      </w:r>
    </w:p>
    <w:p w14:paraId="78FCBA9F" w14:textId="7031157A" w:rsidR="00C5388B" w:rsidRPr="006C10B9" w:rsidRDefault="00C5388B" w:rsidP="006E00C5">
      <w:pPr>
        <w:ind w:left="705"/>
        <w:rPr>
          <w:sz w:val="28"/>
          <w:szCs w:val="28"/>
        </w:rPr>
      </w:pPr>
      <w:r w:rsidRPr="006C10B9">
        <w:rPr>
          <w:sz w:val="28"/>
          <w:szCs w:val="28"/>
        </w:rPr>
        <w:t xml:space="preserve">- </w:t>
      </w:r>
      <w:r w:rsidR="00D12652">
        <w:rPr>
          <w:sz w:val="28"/>
          <w:szCs w:val="28"/>
        </w:rPr>
        <w:t>Проектирование д</w:t>
      </w:r>
      <w:r w:rsidR="00D12652" w:rsidRPr="006C10B9">
        <w:rPr>
          <w:sz w:val="28"/>
          <w:szCs w:val="28"/>
        </w:rPr>
        <w:t>ельта</w:t>
      </w:r>
      <w:r w:rsidR="00D12652">
        <w:rPr>
          <w:sz w:val="28"/>
          <w:szCs w:val="28"/>
        </w:rPr>
        <w:t xml:space="preserve"> робота </w:t>
      </w:r>
      <w:r w:rsidR="00D12652" w:rsidRPr="006C10B9">
        <w:rPr>
          <w:sz w:val="28"/>
          <w:szCs w:val="28"/>
          <w:lang w:val="kk-KZ"/>
        </w:rPr>
        <w:t xml:space="preserve">и </w:t>
      </w:r>
      <w:r w:rsidR="00D12652">
        <w:rPr>
          <w:sz w:val="28"/>
          <w:szCs w:val="28"/>
        </w:rPr>
        <w:t>разработка программного обеспечения</w:t>
      </w:r>
      <w:r w:rsidR="00D12652" w:rsidRPr="006C10B9">
        <w:rPr>
          <w:sz w:val="28"/>
          <w:szCs w:val="28"/>
        </w:rPr>
        <w:t>;</w:t>
      </w:r>
    </w:p>
    <w:p w14:paraId="0E13881E" w14:textId="1D01DD2F" w:rsidR="00C5388B" w:rsidRPr="00D12652" w:rsidRDefault="00863E27" w:rsidP="00D12652">
      <w:pPr>
        <w:ind w:left="705"/>
      </w:pPr>
      <w:proofErr w:type="gramStart"/>
      <w:r w:rsidRPr="006C10B9">
        <w:rPr>
          <w:sz w:val="28"/>
          <w:szCs w:val="28"/>
        </w:rPr>
        <w:t xml:space="preserve">- </w:t>
      </w:r>
      <w:r w:rsidR="00D12652" w:rsidRPr="00D12652">
        <w:rPr>
          <w:sz w:val="28"/>
          <w:szCs w:val="28"/>
          <w:lang w:val="kk-KZ"/>
        </w:rPr>
        <w:t>проектирование манипулятора установленный в мобильный робот и разработка программного обеспечения</w:t>
      </w:r>
      <w:r w:rsidR="00D12652" w:rsidRPr="00D12652">
        <w:rPr>
          <w:sz w:val="28"/>
          <w:szCs w:val="28"/>
        </w:rPr>
        <w:t>;</w:t>
      </w:r>
      <w:bookmarkStart w:id="0" w:name="_GoBack"/>
      <w:bookmarkEnd w:id="0"/>
      <w:proofErr w:type="gramEnd"/>
    </w:p>
    <w:p w14:paraId="61A44418" w14:textId="258DEFBA" w:rsidR="00407D60" w:rsidRPr="00407D60" w:rsidRDefault="00407D60" w:rsidP="00407D60">
      <w:pPr>
        <w:ind w:left="705"/>
        <w:rPr>
          <w:lang w:val="kk-KZ"/>
        </w:rPr>
      </w:pPr>
      <w:r>
        <w:rPr>
          <w:lang w:val="kk-KZ"/>
        </w:rPr>
        <w:t xml:space="preserve"> </w:t>
      </w:r>
    </w:p>
    <w:p w14:paraId="1626A3B2" w14:textId="77777777" w:rsidR="00A91139" w:rsidRPr="00407D60" w:rsidRDefault="00A91139" w:rsidP="00407D60">
      <w:pPr>
        <w:rPr>
          <w:b/>
          <w:lang w:val="kk-KZ"/>
        </w:rPr>
      </w:pP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4E2A6DCC" w:rsidR="001436A2" w:rsidRDefault="001436A2" w:rsidP="00AE1BE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AE1BE2" w:rsidRPr="00AE1BE2">
        <w:rPr>
          <w:b/>
          <w:lang w:val="kk-KZ"/>
        </w:rPr>
        <w:t>Программное обеспечение мехатронных и робототехнических систем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386823AB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183F2D">
        <w:rPr>
          <w:lang w:val="kk-KZ"/>
        </w:rPr>
        <w:t>3</w:t>
      </w:r>
      <w:r w:rsidRPr="00296F3F">
        <w:rPr>
          <w:lang w:val="kk-KZ"/>
        </w:rPr>
        <w:t xml:space="preserve"> курс </w:t>
      </w:r>
    </w:p>
    <w:p w14:paraId="2698D8CB" w14:textId="0E2D1FCE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925D33" w:rsidRPr="00925D33">
        <w:rPr>
          <w:lang w:val="kk-KZ"/>
        </w:rPr>
        <w:t>1</w:t>
      </w:r>
    </w:p>
    <w:p w14:paraId="50C1AA8D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0FF7AA2C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6F470CD6" w14:textId="170C8496" w:rsidR="00853689" w:rsidRPr="00296F3F" w:rsidRDefault="00C978F8" w:rsidP="00445A2B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47DA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45A2B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C10B9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63E27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E1BE2"/>
    <w:rsid w:val="00AF0F13"/>
    <w:rsid w:val="00B42537"/>
    <w:rsid w:val="00B72332"/>
    <w:rsid w:val="00B87EB4"/>
    <w:rsid w:val="00B90F4D"/>
    <w:rsid w:val="00B93E11"/>
    <w:rsid w:val="00B96AB7"/>
    <w:rsid w:val="00B97942"/>
    <w:rsid w:val="00BB745F"/>
    <w:rsid w:val="00BC3FC8"/>
    <w:rsid w:val="00BE0EBD"/>
    <w:rsid w:val="00BE68B1"/>
    <w:rsid w:val="00C3676D"/>
    <w:rsid w:val="00C44E2B"/>
    <w:rsid w:val="00C5388B"/>
    <w:rsid w:val="00C60274"/>
    <w:rsid w:val="00C978F8"/>
    <w:rsid w:val="00CC699A"/>
    <w:rsid w:val="00CE122B"/>
    <w:rsid w:val="00D12652"/>
    <w:rsid w:val="00D26F8A"/>
    <w:rsid w:val="00D90916"/>
    <w:rsid w:val="00DD1C62"/>
    <w:rsid w:val="00DE28A8"/>
    <w:rsid w:val="00E02442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A4195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8</cp:revision>
  <cp:lastPrinted>2020-05-27T08:07:00Z</cp:lastPrinted>
  <dcterms:created xsi:type="dcterms:W3CDTF">2022-10-15T04:25:00Z</dcterms:created>
  <dcterms:modified xsi:type="dcterms:W3CDTF">2022-10-15T15:09:00Z</dcterms:modified>
</cp:coreProperties>
</file>